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B9A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default" w:eastAsia="微软雅黑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15BA9"/>
          <w:spacing w:val="0"/>
          <w:sz w:val="34"/>
          <w:szCs w:val="34"/>
          <w:shd w:val="clear" w:fill="FFFFFF"/>
        </w:rPr>
        <w:t>2025全球医疗健康展览会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15BA9"/>
          <w:spacing w:val="0"/>
          <w:sz w:val="34"/>
          <w:szCs w:val="34"/>
          <w:shd w:val="clear" w:fill="FFFFFF"/>
          <w:lang w:eastAsia="zh-CN"/>
        </w:rPr>
        <w:t>——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15BA9"/>
          <w:spacing w:val="0"/>
          <w:sz w:val="34"/>
          <w:szCs w:val="34"/>
          <w:shd w:val="clear" w:fill="FFFFFF"/>
          <w:lang w:val="en-US" w:eastAsia="zh-CN"/>
        </w:rPr>
        <w:t>北京站</w:t>
      </w:r>
    </w:p>
    <w:p w14:paraId="79013C8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040" cy="2471420"/>
            <wp:effectExtent l="0" t="0" r="3810" b="5080"/>
            <wp:docPr id="11" name="图片 11" descr="广告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广告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46EE3">
      <w:pPr>
        <w:rPr>
          <w:rFonts w:hint="eastAsia"/>
          <w:lang w:val="en-US" w:eastAsia="zh-CN"/>
        </w:rPr>
      </w:pPr>
    </w:p>
    <w:p w14:paraId="2E6471D8">
      <w:pPr>
        <w:pStyle w:val="8"/>
        <w:bidi w:val="0"/>
        <w:ind w:left="0" w:leftChars="0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举办时间：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2025/10/18---2025/10/19</w:t>
      </w:r>
    </w:p>
    <w:p w14:paraId="6DA239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举办展馆：</w:t>
      </w:r>
      <w:r>
        <w:rPr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instrText xml:space="preserve"> HYPERLINK "http://www.eshow365.com/zhanguan/html/12_0.html" \t "http://www.eshow365.com/zhanhui/html/_blank"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t>北京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  <w:lang w:val="en-US" w:eastAsia="zh-CN"/>
        </w:rPr>
        <w:t>·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t>全国农业展览馆</w:t>
      </w:r>
      <w:r>
        <w:rPr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北京市朝阳区东三环北路16号</w:t>
      </w:r>
      <w:r>
        <w:rPr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instrText xml:space="preserve"> HYPERLINK "http://www.eshow365.com/zhanguan/cginfo/12.html" \l "route" \t "http://www.eshow365.com/zhanhui/html/_blank"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t> 乘车路线</w:t>
      </w:r>
      <w:r>
        <w:rPr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fldChar w:fldCharType="end"/>
      </w:r>
    </w:p>
    <w:p w14:paraId="1941D2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所属行业：</w:t>
      </w:r>
      <w:r>
        <w:rPr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instrText xml:space="preserve"> HYPERLINK "http://yljk.eshow365.com/" \t "http://www.eshow365.com/zhanhui/html/_blank"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t>医疗健康</w:t>
      </w:r>
      <w:r>
        <w:rPr>
          <w:rFonts w:hint="eastAsia" w:ascii="宋体" w:hAnsi="宋体" w:eastAsia="宋体" w:cs="宋体"/>
          <w:i w:val="0"/>
          <w:iCs w:val="0"/>
          <w:caps w:val="0"/>
          <w:color w:val="105DB5"/>
          <w:spacing w:val="0"/>
          <w:sz w:val="21"/>
          <w:szCs w:val="21"/>
          <w:u w:val="none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 w14:paraId="31C2CC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展会城市：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北京|北京市</w:t>
      </w:r>
    </w:p>
    <w:p w14:paraId="78531C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主办单位：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广东省保健协会、广东省保健协会生殖健康分会、广东省保健协会免疫治疗分会、广东省保健协会肿瘤防治与康复分会、广东省保健协会抗衰老及脑变性病防治分会、广东省保健协会免疫细胞与干细胞治疗分会、广州新式会展服务有限公司</w:t>
      </w:r>
    </w:p>
    <w:p w14:paraId="5A0939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支持单位：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格鲁吉亚青年妇产科医生和生殖科医生协会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格鲁吉亚生殖内分泌协会</w:t>
      </w:r>
    </w:p>
    <w:p w14:paraId="0E5C01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承办单位：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广州新式会展服务有限公司</w:t>
      </w:r>
    </w:p>
    <w:p w14:paraId="708052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展会面积：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5000平方米</w:t>
      </w:r>
    </w:p>
    <w:p w14:paraId="4A7859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举办周期：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一年两届</w:t>
      </w:r>
    </w:p>
    <w:p w14:paraId="26257A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2E54A1" w:themeColor="accent1" w:themeShade="BF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大会网址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E54A1" w:themeColor="accent1" w:themeShade="BF"/>
          <w:spacing w:val="0"/>
          <w:sz w:val="21"/>
          <w:szCs w:val="21"/>
          <w:shd w:val="clear" w:fill="FFFFFF"/>
          <w:lang w:val="en-US" w:eastAsia="zh-CN"/>
        </w:rPr>
        <w:t>全球医疗健康展：</w:t>
      </w:r>
      <w:r>
        <w:rPr>
          <w:rFonts w:hint="eastAsia" w:ascii="宋体" w:hAnsi="宋体" w:eastAsia="宋体" w:cs="宋体"/>
          <w:i w:val="0"/>
          <w:iCs w:val="0"/>
          <w:caps w:val="0"/>
          <w:color w:val="2E54A1" w:themeColor="accent1" w:themeShade="BF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2E54A1" w:themeColor="accent1" w:themeShade="BF"/>
          <w:spacing w:val="0"/>
          <w:sz w:val="21"/>
          <w:szCs w:val="21"/>
          <w:u w:val="none"/>
          <w:shd w:val="clear" w:fill="FFFFFF"/>
          <w:lang w:val="en-US" w:eastAsia="zh-CN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2E54A1" w:themeColor="accent1" w:themeShade="BF"/>
          <w:spacing w:val="0"/>
          <w:sz w:val="21"/>
          <w:szCs w:val="21"/>
          <w:u w:val="none"/>
          <w:shd w:val="clear" w:fill="FFFFFF"/>
          <w:lang w:val="en-US" w:eastAsia="zh-CN"/>
        </w:rPr>
        <w:instrText xml:space="preserve"> HYPERLINK "http://www.gmhex.com/" </w:instrText>
      </w:r>
      <w:r>
        <w:rPr>
          <w:rFonts w:hint="eastAsia" w:ascii="宋体" w:hAnsi="宋体" w:eastAsia="宋体" w:cs="宋体"/>
          <w:i w:val="0"/>
          <w:iCs w:val="0"/>
          <w:caps w:val="0"/>
          <w:color w:val="2E54A1" w:themeColor="accent1" w:themeShade="BF"/>
          <w:spacing w:val="0"/>
          <w:sz w:val="21"/>
          <w:szCs w:val="21"/>
          <w:u w:val="none"/>
          <w:shd w:val="clear" w:fill="FFFFFF"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2E54A1" w:themeColor="accent1" w:themeShade="BF"/>
          <w:spacing w:val="0"/>
          <w:sz w:val="21"/>
          <w:szCs w:val="21"/>
          <w:shd w:val="clear" w:fill="FFFFFF"/>
          <w:lang w:val="en-US" w:eastAsia="zh-CN"/>
        </w:rPr>
        <w:t>http://www.gmhex.com/</w:t>
      </w:r>
      <w:r>
        <w:rPr>
          <w:rFonts w:hint="eastAsia" w:ascii="宋体" w:hAnsi="宋体" w:eastAsia="宋体" w:cs="宋体"/>
          <w:i w:val="0"/>
          <w:iCs w:val="0"/>
          <w:caps w:val="0"/>
          <w:color w:val="2E54A1" w:themeColor="accent1" w:themeShade="BF"/>
          <w:spacing w:val="0"/>
          <w:sz w:val="21"/>
          <w:szCs w:val="21"/>
          <w:u w:val="none"/>
          <w:shd w:val="clear" w:fill="FFFFFF"/>
          <w:lang w:val="en-US" w:eastAsia="zh-CN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2E54A1" w:themeColor="accent1" w:themeShade="BF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E54A1" w:themeColor="accent1" w:themeShade="BF"/>
          <w:spacing w:val="0"/>
          <w:sz w:val="21"/>
          <w:szCs w:val="21"/>
          <w:shd w:val="clear" w:fill="FFFFFF"/>
          <w:lang w:val="en-US" w:eastAsia="zh-CN"/>
        </w:rPr>
        <w:t xml:space="preserve"> </w:t>
      </w:r>
    </w:p>
    <w:p w14:paraId="7ADFA8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2E54A1" w:themeColor="accent1" w:themeShade="BF"/>
          <w:spacing w:val="0"/>
          <w:sz w:val="21"/>
          <w:szCs w:val="21"/>
          <w:u w:val="single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E54A1" w:themeColor="accent1" w:themeShade="BF"/>
          <w:spacing w:val="0"/>
          <w:sz w:val="21"/>
          <w:szCs w:val="21"/>
          <w:u w:val="none"/>
          <w:shd w:val="clear" w:fill="FFFFFF"/>
          <w:lang w:val="en-US" w:eastAsia="zh-CN"/>
        </w:rPr>
        <w:t>国际生殖医学健康大会：</w:t>
      </w:r>
      <w:r>
        <w:rPr>
          <w:rFonts w:hint="eastAsia" w:ascii="宋体" w:hAnsi="宋体" w:eastAsia="宋体" w:cs="宋体"/>
          <w:i w:val="0"/>
          <w:iCs w:val="0"/>
          <w:caps w:val="0"/>
          <w:color w:val="2E54A1" w:themeColor="accent1" w:themeShade="BF"/>
          <w:spacing w:val="0"/>
          <w:sz w:val="21"/>
          <w:szCs w:val="21"/>
          <w:u w:val="single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2E54A1" w:themeColor="accent1" w:themeShade="BF"/>
          <w:spacing w:val="0"/>
          <w:sz w:val="21"/>
          <w:szCs w:val="21"/>
          <w:u w:val="single"/>
          <w:shd w:val="clear" w:fill="FFFFFF"/>
        </w:rPr>
        <w:instrText xml:space="preserve"> HYPERLINK "http://www.civfc.com/" \t "http://www.eshow365.com/zhanhui/html/_blank"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2E54A1" w:themeColor="accent1" w:themeShade="BF"/>
          <w:spacing w:val="0"/>
          <w:sz w:val="21"/>
          <w:szCs w:val="21"/>
          <w:u w:val="single"/>
          <w:shd w:val="clear" w:fill="FFFFFF"/>
        </w:rPr>
        <w:fldChar w:fldCharType="separate"/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2E54A1" w:themeColor="accent1" w:themeShade="BF"/>
          <w:spacing w:val="0"/>
          <w:sz w:val="21"/>
          <w:szCs w:val="21"/>
          <w:u w:val="single"/>
          <w:shd w:val="clear" w:fill="FFFFFF"/>
        </w:rPr>
        <w:t>http://www.civfc.com/</w:t>
      </w:r>
      <w:r>
        <w:rPr>
          <w:rFonts w:hint="eastAsia" w:ascii="宋体" w:hAnsi="宋体" w:eastAsia="宋体" w:cs="宋体"/>
          <w:i w:val="0"/>
          <w:iCs w:val="0"/>
          <w:caps w:val="0"/>
          <w:color w:val="2E54A1" w:themeColor="accent1" w:themeShade="BF"/>
          <w:spacing w:val="0"/>
          <w:sz w:val="21"/>
          <w:szCs w:val="21"/>
          <w:u w:val="single"/>
          <w:shd w:val="clear" w:fill="FFFFFF"/>
        </w:rPr>
        <w:fldChar w:fldCharType="end"/>
      </w:r>
    </w:p>
    <w:p w14:paraId="59174C95">
      <w:pPr>
        <w:rPr>
          <w:color w:val="2E54A1" w:themeColor="accent1" w:themeShade="BF"/>
        </w:rPr>
      </w:pPr>
    </w:p>
    <w:p w14:paraId="0BE480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2E54A1" w:themeColor="accent1" w:themeShade="BF"/>
          <w:spacing w:val="8"/>
          <w:shd w:val="clear" w:fill="FFFFFF"/>
          <w:lang w:val="en-US" w:eastAsia="zh-CN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2E54A1" w:themeColor="accent1" w:themeShade="BF"/>
          <w:spacing w:val="8"/>
          <w:shd w:val="clear" w:fill="FFFFFF"/>
          <w:lang w:val="en-US" w:eastAsia="zh-CN"/>
        </w:rPr>
        <w:t>活动亮点</w:t>
      </w:r>
    </w:p>
    <w:p w14:paraId="138F0F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52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1"/>
          <w:szCs w:val="21"/>
          <w:shd w:val="clear" w:fill="FFFFFF"/>
          <w:lang w:val="en-US" w:eastAsia="zh-CN"/>
        </w:rPr>
        <w:t>2025全球医疗健康展览会，汇聚来自30多个国家和地区的80多家医院和机构参展，展出总面积达5000平方米，参观人员达到3000多人。同期举办五大主题论坛：再生医学与长寿医学论坛、预防医学与功能医学论坛，迈向健康新未来论坛、国际生殖医学论坛、癌症与肿瘤精准治疗论坛、跨境医疗与全球健康管理的趋势与挑战论坛。</w:t>
      </w:r>
    </w:p>
    <w:p w14:paraId="6C1DD6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8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8"/>
          <w:sz w:val="21"/>
          <w:szCs w:val="21"/>
          <w:shd w:val="clear" w:fill="FFFFFF"/>
          <w:lang w:val="en-US" w:eastAsia="zh-CN"/>
        </w:rPr>
        <w:t>汇聚全球智力，探索生命希望</w:t>
      </w:r>
    </w:p>
    <w:p w14:paraId="005D9F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452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1"/>
          <w:szCs w:val="21"/>
          <w:shd w:val="clear" w:fill="FFFFFF"/>
          <w:lang w:val="en-US" w:eastAsia="zh-CN"/>
        </w:rPr>
        <w:t>本论坛将汇聚来自全球的临床专家、科研团队、生物科技公司与医疗投资人，现场交流突破成果、探讨产业合作，邀您共话未来！大咖云集，共同探讨国际医疗协作、医疗旅游、健康管理新机遇。期待与您共襄盛举，共绘全球医疗健康新蓝图！</w:t>
      </w:r>
    </w:p>
    <w:p w14:paraId="5A3965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8"/>
          <w:shd w:val="clear" w:fill="FFFFFF"/>
          <w:lang w:val="en-US" w:eastAsia="zh-CN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8"/>
          <w:shd w:val="clear" w:fill="FFFFFF"/>
          <w:lang w:val="en-US" w:eastAsia="zh-CN"/>
        </w:rPr>
        <w:drawing>
          <wp:inline distT="0" distB="0" distL="114300" distR="114300">
            <wp:extent cx="5266690" cy="3506470"/>
            <wp:effectExtent l="0" t="0" r="10160" b="17780"/>
            <wp:docPr id="2" name="图片 2" descr="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B11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default" w:ascii="微软雅黑" w:hAnsi="微软雅黑" w:eastAsia="微软雅黑" w:cs="微软雅黑"/>
          <w:i w:val="0"/>
          <w:iCs w:val="0"/>
          <w:caps w:val="0"/>
          <w:color w:val="2E54A1" w:themeColor="accent1" w:themeShade="BF"/>
          <w:spacing w:val="8"/>
          <w:shd w:val="clear" w:fill="FFFFFF"/>
          <w:lang w:val="en-US" w:eastAsia="zh-CN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2E54A1" w:themeColor="accent1" w:themeShade="BF"/>
          <w:spacing w:val="8"/>
          <w:shd w:val="clear" w:fill="FFFFFF"/>
          <w:lang w:val="en-US" w:eastAsia="zh-CN"/>
        </w:rPr>
        <w:t>展会背景</w:t>
      </w:r>
    </w:p>
    <w:p w14:paraId="762833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2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随着人们的健康意识提升，跨境医疗行业逐渐成为连接全球医疗资源的重要桥梁。随着发达国家医疗技术的突破性发展(如生殖医学，功能医学，再生医学细胞疗法，长寿医学，癌症新型治疗技术等)，以及新兴经济体医疗基础设施的逐步完善，跨境医疗需求呈现爆发式增长，市场规模已突破3000亿美元，年增长率保持在10%以上。美国、德国、日本、泰国等国家凭借技术优势占据市场主导地位，而中国、印度等新兴市场则通过成本优势和差异化服务快速崛起。2018至2021年，中国跨境医疗中介服务市场规模从163.2亿元，增长到214.3亿元。</w:t>
      </w:r>
    </w:p>
    <w:p w14:paraId="7C0E83BE">
      <w:pPr>
        <w:ind w:firstLine="42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面对这些严峻的健康挑战和机遇，全球医疗健康领域亟需一个平台，促进各国先进医疗技术的深入交流与合作，基于此“2025全球医学健康展览会 &amp; 第三届中国国际生殖医学健康大会”应运而生。大会旨在汇聚全球医学领域的顶尖专家，探讨慢性疾病管理、再生医学、癌症治疗及生殖医学等多领域最新治疗方法，推动医疗技术的创新与发展，提升人类健康水平的发展。通过跨学科合作来探索当前的健康挑战，为创新治疗方法的临床应用，解决人类健康问题，改善人类生命质量做出积极贡献。</w:t>
      </w:r>
    </w:p>
    <w:p w14:paraId="4970E154">
      <w:pPr>
        <w:ind w:firstLine="42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本次大会将邀请来自30多个国家和地区的100多家医院和机构参展，展出总面积达5000平方米，参观人员达到3000多人，期待与您共谋发展，共创健康新时代！</w:t>
      </w:r>
    </w:p>
    <w:p w14:paraId="064D27DE"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5" name="图片 5" descr="640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40 (2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D65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宋体" w:hAnsi="宋体" w:eastAsia="宋体" w:cs="宋体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7282A9E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  <w:t>会议主题</w:t>
      </w:r>
    </w:p>
    <w:p w14:paraId="0055343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  <w:t>1.再生医学临床应用与长寿医学的前沿探索</w:t>
      </w:r>
    </w:p>
    <w:p w14:paraId="06301D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干细胞再生医学十大临床疾病突破和研究进展</w:t>
      </w:r>
    </w:p>
    <w:p w14:paraId="1CE237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干细胞再生医学在帕金森病中的临床应用</w:t>
      </w:r>
    </w:p>
    <w:p w14:paraId="6BEBA2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干细胞再生医学在卒中、中风患者的临床治疗效果</w:t>
      </w:r>
    </w:p>
    <w:p w14:paraId="48D93A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干细胞治疗结合光动力疗法的临床案例应用</w:t>
      </w:r>
    </w:p>
    <w:p w14:paraId="2CBCA5A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再生医学崛起：长寿科技的颠覆性力量</w:t>
      </w:r>
    </w:p>
    <w:p w14:paraId="63BD38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NAD+对抗衰老效果如何？</w:t>
      </w:r>
    </w:p>
    <w:p w14:paraId="2EEDF3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NAD+水平的降低可能诱发癌症、代谢性疾病</w:t>
      </w:r>
    </w:p>
    <w:p w14:paraId="66D30E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个体化的健康长寿干预方案</w:t>
      </w:r>
    </w:p>
    <w:p w14:paraId="50672B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长寿与健康老龄化的跨学科研究（包括营养、运动与环境因素）</w:t>
      </w:r>
    </w:p>
    <w:p w14:paraId="552E70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从“抗衰”到“长寿”的范式革命</w:t>
      </w:r>
    </w:p>
    <w:p w14:paraId="18B2B6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融合“衰老干预、延缓衰老与抗衰老”概念于一体的长寿干预</w:t>
      </w:r>
    </w:p>
    <w:p w14:paraId="14F05E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泰国推行健康长寿医学的挑战与机遇</w:t>
      </w:r>
    </w:p>
    <w:p w14:paraId="17B027B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0E579CE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  <w:t>2.功能医学与人类健康的创新论坛</w:t>
      </w:r>
    </w:p>
    <w:p w14:paraId="733A9A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功能医学在疾病预防与个体化治疗中的创新作用</w:t>
      </w:r>
    </w:p>
    <w:p w14:paraId="797FBE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肠道菌群检测与移植——慢性疾病防治的新途径</w:t>
      </w:r>
    </w:p>
    <w:p w14:paraId="3E8F47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功能医学：打破常规医疗局限，全方位解码健康奥秘</w:t>
      </w:r>
    </w:p>
    <w:p w14:paraId="2FAFF0D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功能医学联合顺势疗法对于癌症、自身免疫性疾病的治疗效果</w:t>
      </w:r>
    </w:p>
    <w:p w14:paraId="64B78F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功能医学在慢性疲劳综合症、过敏、炎症等疾病中的应用</w:t>
      </w:r>
    </w:p>
    <w:p w14:paraId="0519E5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功能医学的崛起：医学营养素如何对抗现代疾病？</w:t>
      </w:r>
    </w:p>
    <w:p w14:paraId="3789AF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肠道菌群移植对菌肠道疾病的治疗研究进展</w:t>
      </w:r>
    </w:p>
    <w:p w14:paraId="0B91DF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女性和男性荷尔蒙健康</w:t>
      </w:r>
    </w:p>
    <w:p w14:paraId="2E3FCF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菌群移植（FMT）的医学革命：从肠道到全身的精准调控</w:t>
      </w:r>
    </w:p>
    <w:p w14:paraId="71B110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6AAA66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  <w:t>3.肿瘤与癌症创新疗法治疗技术</w:t>
      </w:r>
    </w:p>
    <w:p w14:paraId="6BCE60F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早期筛查与个性化精准治疗癌症</w:t>
      </w:r>
    </w:p>
    <w:p w14:paraId="334480F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新型癌症早期筛查方法与技术（如液体活检）</w:t>
      </w:r>
    </w:p>
    <w:p w14:paraId="13B51F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硼中子俘获疗法（BNCT）一种新兴的癌症治疗技术</w:t>
      </w:r>
    </w:p>
    <w:p w14:paraId="7BE7DA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精准医学在癌症治疗中的应用（靶向治疗、免疫治疗等）</w:t>
      </w:r>
    </w:p>
    <w:p w14:paraId="1A86CDD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深度揭秘日本癌症治疗前沿新技术1-光免疫疗法（PDT）</w:t>
      </w:r>
    </w:p>
    <w:p w14:paraId="750673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深度揭秘日本癌症治疗前沿新技术2-溶瘤病毒疗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法</w:t>
      </w:r>
    </w:p>
    <w:p w14:paraId="494548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深度揭秘日本癌症治疗前沿新技术2-WT1树突状细胞疫苗疗法</w:t>
      </w:r>
    </w:p>
    <w:p w14:paraId="1DDA22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新型免疫治疗作为新一代癌症治疗技术</w:t>
      </w:r>
    </w:p>
    <w:p w14:paraId="5DAC2F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癌症患者的综合治疗与生存质量改善</w:t>
      </w:r>
    </w:p>
    <w:p w14:paraId="1EC952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5FD0E9C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  <w:t>国际生殖健康与遗传医学论坛</w:t>
      </w:r>
    </w:p>
    <w:p w14:paraId="02A265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生殖医学的现状与未来：从不孕不育到跨代健康</w:t>
      </w:r>
    </w:p>
    <w:p w14:paraId="0BB35F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不孕不育的诊断与治疗新技术</w:t>
      </w:r>
    </w:p>
    <w:p w14:paraId="1DFC56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辅助生殖技术（如试管婴儿、卵子冷冻等）的创新进展</w:t>
      </w:r>
    </w:p>
    <w:p w14:paraId="0BC502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卵母细胞玻璃化冷冻对胚胎发育及移植结局的影响</w:t>
      </w:r>
    </w:p>
    <w:p w14:paraId="5E27A2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荷尔蒙平衡疗法对女性雌激素不足的临床应用</w:t>
      </w:r>
    </w:p>
    <w:p w14:paraId="3BCFF4B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肠道菌群移植改善女性生殖健康的重大难题</w:t>
      </w:r>
    </w:p>
    <w:p w14:paraId="4E5C6FD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35B5E6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  <w:t>5.医疗旅游新纪元：跨境医疗与全球健康管理的趋势与挑战</w:t>
      </w:r>
    </w:p>
    <w:p w14:paraId="6F6BDF1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全球第四，泰国何以成顶级医疗旅游圣地？</w:t>
      </w:r>
    </w:p>
    <w:p w14:paraId="332CE4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为何马来西亚是华人首选的医疗保健旅游目的地？</w:t>
      </w:r>
    </w:p>
    <w:p w14:paraId="1D25E9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欧洲跨境医疗政策的积极一体化</w:t>
      </w:r>
    </w:p>
    <w:p w14:paraId="6AE9DE7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跨境医疗服务，健康无国界</w:t>
      </w:r>
    </w:p>
    <w:p w14:paraId="0088E1F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全球跨境医疗企业的破局之道</w:t>
      </w:r>
    </w:p>
    <w:p w14:paraId="14016A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宋体" w:hAnsi="宋体" w:eastAsia="宋体" w:cs="宋体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为什么华人热衷去欧洲医疗康养？</w:t>
      </w:r>
    </w:p>
    <w:p w14:paraId="08F6F406">
      <w:pP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6" name="图片 6" descr="640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40 (4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F88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54A1" w:themeColor="accent1" w:themeShade="BF"/>
          <w:spacing w:val="0"/>
          <w:kern w:val="0"/>
          <w:sz w:val="21"/>
          <w:szCs w:val="21"/>
          <w:shd w:val="clear" w:fill="FFFFFF"/>
          <w:lang w:val="en-US" w:eastAsia="zh-CN" w:bidi="ar"/>
        </w:rPr>
        <w:t>参展范围：</w:t>
      </w:r>
    </w:p>
    <w:p w14:paraId="072747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1、国际综合医院，私立医院，癌症治疗医院，跨境医疗服务公司，国际健康管理公司</w:t>
      </w:r>
    </w:p>
    <w:p w14:paraId="78C12D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2、再生医学中心、抗衰老诊所，功能医学研究中心，功能医学诊所，干细胞治疗中心</w:t>
      </w:r>
    </w:p>
    <w:p w14:paraId="27B1B3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干细胞产品研究所、细胞疗法诊所、NAD+研发中心</w:t>
      </w:r>
    </w:p>
    <w:p w14:paraId="73E601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3、海外移民公司、海外生子服务机构、海外投资与留学服务机构、海外健康疗养中心</w:t>
      </w:r>
    </w:p>
    <w:p w14:paraId="44D3AB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4、国际试管婴儿诊所、辅助生殖中心、不孕不育治疗医院</w:t>
      </w:r>
    </w:p>
    <w:p w14:paraId="3EA994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5、跨境辅助生殖服务代理机构、辅助生殖调理产品、生殖助孕临床营养保健品</w:t>
      </w:r>
    </w:p>
    <w:p w14:paraId="55AEBE9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6、互联网+辅助生殖服务、跨境就医地接和翻译公司</w:t>
      </w:r>
    </w:p>
    <w:p w14:paraId="2987E3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7、生殖旅游、医疗旅游公司</w:t>
      </w:r>
    </w:p>
    <w:p w14:paraId="62BDA7B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8、辅助生殖智能化系统、辅助生殖试剂、耗材、器械 生育力保存系统</w:t>
      </w:r>
    </w:p>
    <w:p w14:paraId="5C3585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9、生殖行业协会、生殖医学会、辅助生殖咨询平台</w:t>
      </w:r>
    </w:p>
    <w:p w14:paraId="0AEE2D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10、海外医疗保险、综合医疗保险、跨境医疗保险等</w:t>
      </w:r>
    </w:p>
    <w:p w14:paraId="3DB547D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11、航空公司、高端酒店、旅行社及旅游度假村、高端定制旅游</w:t>
      </w:r>
    </w:p>
    <w:p w14:paraId="1954D8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12、 国外体检预约、签证辅助、行程安排、机票预订、接送服务、翻译陪同等</w:t>
      </w:r>
    </w:p>
    <w:p w14:paraId="00520BB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0F549B90">
      <w:pPr>
        <w:rPr>
          <w:rFonts w:hint="eastAsia" w:ascii="微软雅黑" w:hAnsi="微软雅黑" w:eastAsia="微软雅黑" w:cs="微软雅黑"/>
          <w:b/>
          <w:bCs/>
          <w:color w:val="2E54A1" w:themeColor="accent1" w:themeShade="B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2E54A1" w:themeColor="accent1" w:themeShade="BF"/>
          <w:lang w:val="en-US" w:eastAsia="zh-CN"/>
        </w:rPr>
        <w:t>收费标准</w:t>
      </w:r>
    </w:p>
    <w:p w14:paraId="7B324C4A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2E54A1" w:themeColor="accent1" w:themeShade="BF"/>
          <w:lang w:val="en-US" w:eastAsia="zh-CN"/>
        </w:rPr>
        <w:t>国内企业：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标准展位RMB  23000元/9m2；</w:t>
      </w:r>
    </w:p>
    <w:p w14:paraId="5CB11ABD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特装：RMB  2500元/m2（18 m2起租）；</w:t>
      </w:r>
    </w:p>
    <w:p w14:paraId="751AA54E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论坛演讲：RMB 12000 元 /20 分钟</w:t>
      </w:r>
    </w:p>
    <w:p w14:paraId="03BA6858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 w14:paraId="25F13DB3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2E54A1" w:themeColor="accent1" w:themeShade="BF"/>
          <w:lang w:val="en-US" w:eastAsia="zh-CN"/>
        </w:rPr>
        <w:t>境外企业：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标准展位：USD  5000/9m2；</w:t>
      </w:r>
    </w:p>
    <w:p w14:paraId="59F83A01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特装：USD 550/m2（18 m2起租）；</w:t>
      </w:r>
    </w:p>
    <w:p w14:paraId="15A9A0BB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论坛演讲：USD 2500/20 分钟</w:t>
      </w:r>
    </w:p>
    <w:p w14:paraId="51B37B33">
      <w:pPr>
        <w:rPr>
          <w:rFonts w:hint="eastAsia" w:ascii="微软雅黑" w:hAnsi="微软雅黑" w:eastAsia="微软雅黑" w:cs="微软雅黑"/>
          <w:b/>
          <w:bCs/>
          <w:lang w:val="en-US" w:eastAsia="zh-CN"/>
        </w:rPr>
      </w:pPr>
    </w:p>
    <w:p w14:paraId="28A64B46">
      <w:pPr>
        <w:jc w:val="center"/>
        <w:rPr>
          <w:rFonts w:hint="eastAsia" w:ascii="微软雅黑" w:hAnsi="微软雅黑" w:eastAsia="微软雅黑" w:cs="微软雅黑"/>
          <w:b/>
          <w:bCs/>
          <w:color w:val="2E54A1" w:themeColor="accent1" w:themeShade="B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2E54A1" w:themeColor="accent1" w:themeShade="BF"/>
          <w:lang w:val="en-US" w:eastAsia="zh-CN"/>
        </w:rPr>
        <w:t>报名参会</w:t>
      </w:r>
    </w:p>
    <w:p w14:paraId="0AF6A750">
      <w:pPr>
        <w:jc w:val="center"/>
        <w:rPr>
          <w:rFonts w:hint="default" w:ascii="微软雅黑" w:hAnsi="微软雅黑" w:eastAsia="微软雅黑" w:cs="微软雅黑"/>
          <w:b w:val="0"/>
          <w:bCs w:val="0"/>
          <w:color w:val="2E54A1" w:themeColor="accent1" w:themeShade="BF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1965325</wp:posOffset>
            </wp:positionH>
            <wp:positionV relativeFrom="paragraph">
              <wp:posOffset>275590</wp:posOffset>
            </wp:positionV>
            <wp:extent cx="1333500" cy="1333500"/>
            <wp:effectExtent l="0" t="0" r="0" b="0"/>
            <wp:wrapNone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bCs w:val="0"/>
          <w:color w:val="2E54A1" w:themeColor="accent1" w:themeShade="BF"/>
          <w:lang w:val="en-US" w:eastAsia="zh-CN"/>
        </w:rPr>
        <w:t>扫码报名，参观免费，及时获取｜最新议程</w:t>
      </w:r>
    </w:p>
    <w:p w14:paraId="6BE2E1E6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 w14:paraId="23E6D940">
      <w:pPr>
        <w:rPr>
          <w:rFonts w:hint="default" w:ascii="微软雅黑" w:hAnsi="微软雅黑" w:eastAsia="微软雅黑" w:cs="微软雅黑"/>
          <w:b/>
          <w:bCs/>
          <w:lang w:val="en-US" w:eastAsia="zh-CN"/>
        </w:rPr>
      </w:pPr>
    </w:p>
    <w:p w14:paraId="1BBB2975">
      <w:pPr>
        <w:rPr>
          <w:rFonts w:hint="eastAsia" w:ascii="微软雅黑" w:hAnsi="微软雅黑" w:eastAsia="微软雅黑" w:cs="微软雅黑"/>
          <w:b/>
          <w:bCs/>
          <w:color w:val="2E54A1" w:themeColor="accent1" w:themeShade="BF"/>
          <w:lang w:val="en-US" w:eastAsia="zh-CN"/>
        </w:rPr>
      </w:pPr>
    </w:p>
    <w:p w14:paraId="40564CD0">
      <w:pPr>
        <w:rPr>
          <w:rFonts w:hint="eastAsia" w:ascii="微软雅黑" w:hAnsi="微软雅黑" w:eastAsia="微软雅黑" w:cs="微软雅黑"/>
          <w:b/>
          <w:bCs/>
          <w:color w:val="2E54A1" w:themeColor="accent1" w:themeShade="BF"/>
          <w:lang w:val="en-US" w:eastAsia="zh-CN"/>
        </w:rPr>
      </w:pPr>
    </w:p>
    <w:p w14:paraId="7A607580">
      <w:pPr>
        <w:rPr>
          <w:rFonts w:hint="eastAsia" w:ascii="微软雅黑" w:hAnsi="微软雅黑" w:eastAsia="微软雅黑" w:cs="微软雅黑"/>
          <w:b w:val="0"/>
          <w:bCs w:val="0"/>
          <w:color w:val="2E54A1" w:themeColor="accent1" w:themeShade="B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2E54A1" w:themeColor="accent1" w:themeShade="BF"/>
          <w:lang w:val="en-US" w:eastAsia="zh-CN"/>
        </w:rPr>
        <w:t>联系方式</w:t>
      </w:r>
    </w:p>
    <w:p w14:paraId="671E4944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联系人：唐老师 18027316552（微信同号）</w:t>
      </w:r>
    </w:p>
    <w:p w14:paraId="2512B2EE">
      <w:pPr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邮箱：cindylee3312@outlook.com</w:t>
      </w:r>
      <w:bookmarkStart w:id="0" w:name="_GoBack"/>
      <w:bookmarkEnd w:id="0"/>
    </w:p>
    <w:p w14:paraId="50B9958E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地址:广州市白云区同和街同沙路天健创意园1栋313室</w:t>
      </w:r>
    </w:p>
    <w:p w14:paraId="5DE7C3FF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网址：http://www.civfc.com/</w:t>
      </w:r>
    </w:p>
    <w:p w14:paraId="0FB5F43F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公众号：Gmh全球站 、CARCE</w:t>
      </w:r>
    </w:p>
    <w:p w14:paraId="7E88B00B">
      <w:pP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F661F5"/>
    <w:multiLevelType w:val="singleLevel"/>
    <w:tmpl w:val="41F661F5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80EA6"/>
    <w:rsid w:val="15F23D2F"/>
    <w:rsid w:val="444F2102"/>
    <w:rsid w:val="5CE205BA"/>
    <w:rsid w:val="61E46646"/>
    <w:rsid w:val="6CB44C5B"/>
    <w:rsid w:val="7646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2509</Words>
  <Characters>2762</Characters>
  <Lines>0</Lines>
  <Paragraphs>0</Paragraphs>
  <TotalTime>174</TotalTime>
  <ScaleCrop>false</ScaleCrop>
  <LinksUpToDate>false</LinksUpToDate>
  <CharactersWithSpaces>2790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2025-06-19T07:47:00Z</dcterms:created>
  <dc:creator>新式会展1</dc:creator>
  <cp:lastModifiedBy>95</cp:lastModifiedBy>
  <dcterms:modified xsi:type="dcterms:W3CDTF">2025-07-11T07:06:05Z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eyJoZGlkIjoiODExZGUzMmU1NmQwMjc2NTZlYjIzMDYxNzBiMDk3Y2QiLCJ1c2VySWQiOiIxNzA5OTMzODA5In0=</vt:lpwstr>
  </property>
  <property fmtid="{D5CDD505-2E9C-101B-9397-08002B2CF9AE}" pid="4" name="ICV">
    <vt:lpwstr>C4B74592E4484E36B90029D67FB4BDE0_13</vt:lpwstr>
  </property>
</Properties>
</file>